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61"/>
        <w:tblW w:w="10315" w:type="dxa"/>
        <w:tblLayout w:type="fixed"/>
        <w:tblLook w:val="04A0" w:firstRow="1" w:lastRow="0" w:firstColumn="1" w:lastColumn="0" w:noHBand="0" w:noVBand="1"/>
      </w:tblPr>
      <w:tblGrid>
        <w:gridCol w:w="5098"/>
        <w:gridCol w:w="5217"/>
      </w:tblGrid>
      <w:tr w:rsidR="006E563E" w:rsidTr="006E563E">
        <w:trPr>
          <w:trHeight w:val="698"/>
        </w:trPr>
        <w:tc>
          <w:tcPr>
            <w:tcW w:w="10315" w:type="dxa"/>
            <w:gridSpan w:val="2"/>
          </w:tcPr>
          <w:p w:rsidR="006E563E" w:rsidRPr="00686609" w:rsidRDefault="006E563E" w:rsidP="006E56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66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 полиции № 7 Межмуниципального отдела Министерства внутренних дел Российской Федерации «Байкаловский» сообщает:</w:t>
            </w:r>
          </w:p>
        </w:tc>
      </w:tr>
      <w:tr w:rsidR="006E563E" w:rsidTr="006E563E">
        <w:trPr>
          <w:trHeight w:val="3247"/>
        </w:trPr>
        <w:tc>
          <w:tcPr>
            <w:tcW w:w="5098" w:type="dxa"/>
          </w:tcPr>
          <w:p w:rsidR="006E563E" w:rsidRPr="00E1562E" w:rsidRDefault="006E563E" w:rsidP="006E563E">
            <w:r w:rsidRPr="00E1562E">
              <w:rPr>
                <w:noProof/>
                <w:lang w:eastAsia="ru-RU"/>
              </w:rPr>
              <w:drawing>
                <wp:inline distT="0" distB="0" distL="0" distR="0" wp14:anchorId="1FD227E2" wp14:editId="5C50D23B">
                  <wp:extent cx="3105150" cy="2371725"/>
                  <wp:effectExtent l="0" t="0" r="0" b="9525"/>
                  <wp:docPr id="2" name="Рисунок 2" descr="C:\Users\Госуслуги\Desktop\76328_kpwumerfw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осуслуги\Desktop\76328_kpwumerfw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7463" cy="244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:rsidR="006E563E" w:rsidRPr="006E563E" w:rsidRDefault="006E563E" w:rsidP="006E563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563E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Использование сим-карт «спящих клиентов». </w:t>
            </w:r>
            <w:r w:rsidRPr="006E563E">
              <w:rPr>
                <w:rFonts w:ascii="Times New Roman" w:hAnsi="Times New Roman" w:cs="Times New Roman"/>
                <w:noProof/>
                <w:lang w:eastAsia="ru-RU"/>
              </w:rPr>
              <w:t>Потерпевшие ранее использовали сим-карты, в том числе которые могли быть заблокированы, не уведомляют кредитные организации, в которых старые сим-карты привязаны к аккаунтам в банках. Злоумышленники, благодаря утечкам персональных данных, устанавливают неиспользуемые сим-карты, которые ранее были привязаны к личному кабинету в банке, после чего получают доступ к мобильному банку и оформляют кредиты, после чего перечисляют денежные средства по своему усмотрению. При этом потерпевшие узнают о совершенном преступлении только после того как кредитная организация пытается взыскать с них имеющуюся кредитную задолженность.</w:t>
            </w:r>
          </w:p>
        </w:tc>
      </w:tr>
      <w:tr w:rsidR="006E563E" w:rsidTr="006E563E">
        <w:trPr>
          <w:trHeight w:val="3124"/>
        </w:trPr>
        <w:tc>
          <w:tcPr>
            <w:tcW w:w="5098" w:type="dxa"/>
          </w:tcPr>
          <w:p w:rsidR="006E563E" w:rsidRPr="006E563E" w:rsidRDefault="006E563E" w:rsidP="006E563E">
            <w:pPr>
              <w:jc w:val="both"/>
              <w:rPr>
                <w:b/>
              </w:rPr>
            </w:pPr>
            <w:r w:rsidRPr="006E563E">
              <w:rPr>
                <w:rFonts w:ascii="Times New Roman" w:hAnsi="Times New Roman" w:cs="Times New Roman"/>
                <w:b/>
              </w:rPr>
              <w:t>Осуществление звонков родственникам, погибших в ходе службы в зоне проведения Специальной военной операции.</w:t>
            </w:r>
          </w:p>
          <w:p w:rsidR="006E563E" w:rsidRPr="000C7C52" w:rsidRDefault="006E563E" w:rsidP="006E5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3E">
              <w:rPr>
                <w:rFonts w:ascii="Times New Roman" w:hAnsi="Times New Roman" w:cs="Times New Roman"/>
              </w:rPr>
              <w:t>В ходе звонка преступники сообщают, что их родственник подписал контракт и был направлен в зону СВО, где попал в засаду и погиб, и чтобы получить все выплаты и тело погибшего, необходимо составить заявление, в котором нужно указать все свои данные, а также перевести денежные средства за страховку, которые необходимо перевести на «специальный счет», реквизиты которого диктует преступник.</w:t>
            </w:r>
          </w:p>
        </w:tc>
        <w:tc>
          <w:tcPr>
            <w:tcW w:w="5217" w:type="dxa"/>
          </w:tcPr>
          <w:p w:rsidR="006E563E" w:rsidRPr="00C3044B" w:rsidRDefault="006E563E" w:rsidP="006E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E0610" wp14:editId="005B6B7C">
                  <wp:extent cx="3189991" cy="20193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500" cy="2148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63E" w:rsidTr="006E563E">
        <w:trPr>
          <w:trHeight w:val="3468"/>
        </w:trPr>
        <w:tc>
          <w:tcPr>
            <w:tcW w:w="5098" w:type="dxa"/>
            <w:tcBorders>
              <w:bottom w:val="single" w:sz="4" w:space="0" w:color="auto"/>
            </w:tcBorders>
          </w:tcPr>
          <w:p w:rsidR="006E563E" w:rsidRPr="006E563E" w:rsidRDefault="006E563E" w:rsidP="006E563E">
            <w:pPr>
              <w:jc w:val="both"/>
              <w:rPr>
                <w:rFonts w:ascii="Times New Roman" w:hAnsi="Times New Roman" w:cs="Times New Roman"/>
              </w:rPr>
            </w:pPr>
            <w:r w:rsidRPr="006E563E">
              <w:rPr>
                <w:rFonts w:ascii="Times New Roman" w:hAnsi="Times New Roman" w:cs="Times New Roman"/>
                <w:b/>
              </w:rPr>
              <w:t xml:space="preserve">Осуществление звонков из коммунальных служб. </w:t>
            </w:r>
            <w:r w:rsidRPr="006E563E">
              <w:rPr>
                <w:rFonts w:ascii="Times New Roman" w:hAnsi="Times New Roman" w:cs="Times New Roman"/>
              </w:rPr>
              <w:t>В ходе звонка преступники сообщают, что необходимо произвести замену счетчиков, отправляют загрузочный файл приложения «</w:t>
            </w:r>
            <w:proofErr w:type="spellStart"/>
            <w:r w:rsidRPr="006E563E">
              <w:rPr>
                <w:rFonts w:ascii="Times New Roman" w:hAnsi="Times New Roman" w:cs="Times New Roman"/>
              </w:rPr>
              <w:t>Энергосбыт</w:t>
            </w:r>
            <w:proofErr w:type="spellEnd"/>
            <w:r w:rsidRPr="006E563E">
              <w:rPr>
                <w:rFonts w:ascii="Times New Roman" w:hAnsi="Times New Roman" w:cs="Times New Roman"/>
              </w:rPr>
              <w:t>» («</w:t>
            </w:r>
            <w:proofErr w:type="spellStart"/>
            <w:r w:rsidRPr="006E563E">
              <w:rPr>
                <w:rFonts w:ascii="Times New Roman" w:hAnsi="Times New Roman" w:cs="Times New Roman"/>
              </w:rPr>
              <w:t>Энергоплюс</w:t>
            </w:r>
            <w:proofErr w:type="spellEnd"/>
            <w:r w:rsidRPr="006E563E">
              <w:rPr>
                <w:rFonts w:ascii="Times New Roman" w:hAnsi="Times New Roman" w:cs="Times New Roman"/>
              </w:rPr>
              <w:t xml:space="preserve">» либо иное название), который необходимо установить на свой мобильный телефон. После установки данного приложения преступники получают удаленный доступ к мобильному устройству и банковским приложениям. Также для хищения денежных средств, под видом установки приложений, преступниками может быть использована схема с «демонстрацией экрана», при которой </w:t>
            </w:r>
            <w:r w:rsidR="00EA3E99" w:rsidRPr="006E563E">
              <w:rPr>
                <w:rFonts w:ascii="Times New Roman" w:hAnsi="Times New Roman" w:cs="Times New Roman"/>
              </w:rPr>
              <w:t xml:space="preserve">вовремя </w:t>
            </w:r>
            <w:r w:rsidRPr="006E563E">
              <w:rPr>
                <w:rFonts w:ascii="Times New Roman" w:hAnsi="Times New Roman" w:cs="Times New Roman"/>
              </w:rPr>
              <w:t xml:space="preserve">якобы оказания помощи по установке приложений, злоумышленники видят приходящие из банковских организаций </w:t>
            </w:r>
            <w:proofErr w:type="spellStart"/>
            <w:r w:rsidRPr="006E563E">
              <w:rPr>
                <w:rFonts w:ascii="Times New Roman" w:hAnsi="Times New Roman" w:cs="Times New Roman"/>
              </w:rPr>
              <w:t>пин</w:t>
            </w:r>
            <w:proofErr w:type="spellEnd"/>
            <w:r w:rsidRPr="006E563E">
              <w:rPr>
                <w:rFonts w:ascii="Times New Roman" w:hAnsi="Times New Roman" w:cs="Times New Roman"/>
              </w:rPr>
              <w:t>-коды и также получают доступ к банковским приложениям.</w:t>
            </w:r>
          </w:p>
        </w:tc>
        <w:tc>
          <w:tcPr>
            <w:tcW w:w="5217" w:type="dxa"/>
            <w:tcBorders>
              <w:bottom w:val="single" w:sz="4" w:space="0" w:color="auto"/>
            </w:tcBorders>
          </w:tcPr>
          <w:p w:rsidR="006E563E" w:rsidRPr="006E563E" w:rsidRDefault="006E563E" w:rsidP="006E56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563E">
              <w:rPr>
                <w:rFonts w:ascii="Times New Roman" w:hAnsi="Times New Roman" w:cs="Times New Roman"/>
                <w:b/>
              </w:rPr>
              <w:t>Псевдобукмекерские</w:t>
            </w:r>
            <w:proofErr w:type="spellEnd"/>
            <w:r w:rsidRPr="006E563E">
              <w:rPr>
                <w:rFonts w:ascii="Times New Roman" w:hAnsi="Times New Roman" w:cs="Times New Roman"/>
                <w:b/>
              </w:rPr>
              <w:t xml:space="preserve"> аккаунты в мессенджере «</w:t>
            </w:r>
            <w:r w:rsidRPr="006E563E">
              <w:rPr>
                <w:rFonts w:ascii="Times New Roman" w:hAnsi="Times New Roman" w:cs="Times New Roman"/>
                <w:b/>
                <w:lang w:val="en-US"/>
              </w:rPr>
              <w:t>Telegram</w:t>
            </w:r>
            <w:r w:rsidRPr="006E563E">
              <w:rPr>
                <w:rFonts w:ascii="Times New Roman" w:hAnsi="Times New Roman" w:cs="Times New Roman"/>
                <w:b/>
              </w:rPr>
              <w:t>».</w:t>
            </w:r>
          </w:p>
          <w:p w:rsidR="006E563E" w:rsidRPr="008349FD" w:rsidRDefault="006E563E" w:rsidP="006E563E">
            <w:pPr>
              <w:jc w:val="both"/>
              <w:rPr>
                <w:rFonts w:ascii="Times New Roman" w:hAnsi="Times New Roman" w:cs="Times New Roman"/>
              </w:rPr>
            </w:pPr>
            <w:r w:rsidRPr="008349FD">
              <w:rPr>
                <w:rFonts w:ascii="Times New Roman" w:hAnsi="Times New Roman" w:cs="Times New Roman"/>
              </w:rPr>
              <w:t xml:space="preserve">С неизвестного номера (номер скрыт) поступает сообщение с предложением заработка через </w:t>
            </w:r>
            <w:r w:rsidRPr="008349FD">
              <w:rPr>
                <w:rFonts w:ascii="Times New Roman" w:hAnsi="Times New Roman" w:cs="Times New Roman"/>
                <w:b/>
              </w:rPr>
              <w:t>«ставки на спорт»</w:t>
            </w:r>
            <w:r w:rsidRPr="008349FD">
              <w:rPr>
                <w:rFonts w:ascii="Times New Roman" w:hAnsi="Times New Roman" w:cs="Times New Roman"/>
              </w:rPr>
              <w:t xml:space="preserve">. В дальнейшем в ходе переписки в чате </w:t>
            </w:r>
            <w:r w:rsidRPr="008349FD">
              <w:rPr>
                <w:rFonts w:ascii="Times New Roman" w:hAnsi="Times New Roman" w:cs="Times New Roman"/>
                <w:lang w:val="en-US"/>
              </w:rPr>
              <w:t>Telegram</w:t>
            </w:r>
            <w:r w:rsidRPr="008349FD">
              <w:rPr>
                <w:rFonts w:ascii="Times New Roman" w:hAnsi="Times New Roman" w:cs="Times New Roman"/>
              </w:rPr>
              <w:t xml:space="preserve">-канала предлагается пополнить баланс в букмекерской конторе. Далее в чате </w:t>
            </w:r>
            <w:r w:rsidRPr="008349FD">
              <w:rPr>
                <w:rFonts w:ascii="Times New Roman" w:hAnsi="Times New Roman" w:cs="Times New Roman"/>
                <w:lang w:val="en-US"/>
              </w:rPr>
              <w:t>Telegram</w:t>
            </w:r>
            <w:r w:rsidRPr="008349FD">
              <w:rPr>
                <w:rFonts w:ascii="Times New Roman" w:hAnsi="Times New Roman" w:cs="Times New Roman"/>
              </w:rPr>
              <w:t>-канала неизвестный сообщает потерпевшему о выигрыше денежных средств, но с целью получения прибыли от выигрыша на ставках необходимо дополнительно перевести денежные средства (страховой взнос, подтверж</w:t>
            </w:r>
            <w:r>
              <w:rPr>
                <w:rFonts w:ascii="Times New Roman" w:hAnsi="Times New Roman" w:cs="Times New Roman"/>
              </w:rPr>
              <w:t>дение платежеспособности и пр.).</w:t>
            </w:r>
          </w:p>
        </w:tc>
      </w:tr>
      <w:tr w:rsidR="006E563E" w:rsidTr="006E563E">
        <w:trPr>
          <w:trHeight w:val="1866"/>
        </w:trPr>
        <w:tc>
          <w:tcPr>
            <w:tcW w:w="10315" w:type="dxa"/>
            <w:gridSpan w:val="2"/>
            <w:tcBorders>
              <w:top w:val="single" w:sz="4" w:space="0" w:color="auto"/>
            </w:tcBorders>
          </w:tcPr>
          <w:p w:rsidR="006E563E" w:rsidRPr="006E563E" w:rsidRDefault="006E563E" w:rsidP="006E563E">
            <w:pPr>
              <w:jc w:val="both"/>
              <w:rPr>
                <w:rFonts w:ascii="Times New Roman" w:hAnsi="Times New Roman" w:cs="Times New Roman"/>
              </w:rPr>
            </w:pPr>
            <w:r w:rsidRPr="006E563E">
              <w:rPr>
                <w:rFonts w:ascii="Times New Roman" w:hAnsi="Times New Roman" w:cs="Times New Roman"/>
                <w:b/>
              </w:rPr>
              <w:t xml:space="preserve">Осуществление звонков из поликлиник. </w:t>
            </w:r>
            <w:r w:rsidRPr="006E563E">
              <w:rPr>
                <w:rFonts w:ascii="Times New Roman" w:hAnsi="Times New Roman" w:cs="Times New Roman"/>
              </w:rPr>
              <w:t>В ходе звонка преступники сообщают, что давно не пройдена диспансеризация, для записи необходимо скачать мобильное приложение «</w:t>
            </w:r>
            <w:proofErr w:type="spellStart"/>
            <w:r w:rsidRPr="006E563E">
              <w:rPr>
                <w:rFonts w:ascii="Times New Roman" w:hAnsi="Times New Roman" w:cs="Times New Roman"/>
              </w:rPr>
              <w:t>Емиас</w:t>
            </w:r>
            <w:proofErr w:type="spellEnd"/>
            <w:r w:rsidRPr="006E563E">
              <w:rPr>
                <w:rFonts w:ascii="Times New Roman" w:hAnsi="Times New Roman" w:cs="Times New Roman"/>
              </w:rPr>
              <w:t>» на сотовый телефон, после чего по «</w:t>
            </w:r>
            <w:proofErr w:type="spellStart"/>
            <w:r w:rsidRPr="006E563E"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  <w:r w:rsidRPr="006E563E">
              <w:rPr>
                <w:rFonts w:ascii="Times New Roman" w:hAnsi="Times New Roman" w:cs="Times New Roman"/>
              </w:rPr>
              <w:t xml:space="preserve">» отправляют загрузочный файл (либо отправляют посредством СМС ссылку на скачивание с </w:t>
            </w:r>
            <w:proofErr w:type="spellStart"/>
            <w:r w:rsidRPr="006E563E">
              <w:rPr>
                <w:rFonts w:ascii="Times New Roman" w:hAnsi="Times New Roman" w:cs="Times New Roman"/>
              </w:rPr>
              <w:t>фишинг</w:t>
            </w:r>
            <w:proofErr w:type="spellEnd"/>
            <w:r w:rsidRPr="006E563E">
              <w:rPr>
                <w:rFonts w:ascii="Times New Roman" w:hAnsi="Times New Roman" w:cs="Times New Roman"/>
              </w:rPr>
              <w:t>-сайта), который необходимо установить на свой мобильный телефон. После установки данного приложения преступники получают удаленный доступ к мобильному устройству и банковским приложениям.</w:t>
            </w:r>
          </w:p>
          <w:p w:rsidR="006E563E" w:rsidRPr="006E563E" w:rsidRDefault="006E563E" w:rsidP="006E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030">
              <w:rPr>
                <w:rFonts w:ascii="Times New Roman" w:hAnsi="Times New Roman" w:cs="Times New Roman"/>
                <w:b/>
                <w:sz w:val="24"/>
                <w:szCs w:val="24"/>
              </w:rPr>
              <w:t>НЕ ВЕРЬТЕ! ЭТО МОШЕННИКИ!!! Тел. Дежурной части 8 (34361)2-10-02</w:t>
            </w:r>
          </w:p>
        </w:tc>
      </w:tr>
    </w:tbl>
    <w:p w:rsidR="006F25D9" w:rsidRDefault="006F25D9" w:rsidP="0096248E"/>
    <w:p w:rsidR="0096248E" w:rsidRDefault="0096248E"/>
    <w:p w:rsidR="008E49C8" w:rsidRDefault="008E49C8">
      <w:bookmarkStart w:id="0" w:name="_GoBack"/>
      <w:bookmarkEnd w:id="0"/>
    </w:p>
    <w:sectPr w:rsidR="008E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A"/>
    <w:rsid w:val="000C7C52"/>
    <w:rsid w:val="00273CE8"/>
    <w:rsid w:val="0027733F"/>
    <w:rsid w:val="00366A56"/>
    <w:rsid w:val="003D0DB4"/>
    <w:rsid w:val="0048646D"/>
    <w:rsid w:val="00486D2E"/>
    <w:rsid w:val="005B3680"/>
    <w:rsid w:val="00614030"/>
    <w:rsid w:val="00622A3D"/>
    <w:rsid w:val="00686609"/>
    <w:rsid w:val="006E563E"/>
    <w:rsid w:val="006F25D9"/>
    <w:rsid w:val="0072786C"/>
    <w:rsid w:val="007D1C75"/>
    <w:rsid w:val="008349FD"/>
    <w:rsid w:val="0088363D"/>
    <w:rsid w:val="008B0627"/>
    <w:rsid w:val="008E49C8"/>
    <w:rsid w:val="0096248E"/>
    <w:rsid w:val="00A739BC"/>
    <w:rsid w:val="00AA3925"/>
    <w:rsid w:val="00B04379"/>
    <w:rsid w:val="00BD07DA"/>
    <w:rsid w:val="00C27C88"/>
    <w:rsid w:val="00C3044B"/>
    <w:rsid w:val="00C9472E"/>
    <w:rsid w:val="00CC0E68"/>
    <w:rsid w:val="00D67E95"/>
    <w:rsid w:val="00D76CEE"/>
    <w:rsid w:val="00DD308E"/>
    <w:rsid w:val="00E132C8"/>
    <w:rsid w:val="00E1562E"/>
    <w:rsid w:val="00EA3E99"/>
    <w:rsid w:val="00ED4052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F687"/>
  <w15:chartTrackingRefBased/>
  <w15:docId w15:val="{296EC3BA-B3E2-40E9-B24E-04FE8051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Госуслуги</dc:creator>
  <cp:keywords/>
  <dc:description/>
  <cp:lastModifiedBy>Штаб</cp:lastModifiedBy>
  <cp:revision>26</cp:revision>
  <cp:lastPrinted>2024-11-11T09:11:00Z</cp:lastPrinted>
  <dcterms:created xsi:type="dcterms:W3CDTF">2024-09-04T08:39:00Z</dcterms:created>
  <dcterms:modified xsi:type="dcterms:W3CDTF">2025-07-24T11:28:00Z</dcterms:modified>
</cp:coreProperties>
</file>